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44" w:rsidRPr="00AF7644" w:rsidRDefault="00AF7644" w:rsidP="00AF7644">
      <w:pPr>
        <w:shd w:val="clear" w:color="auto" w:fill="FFFFFF"/>
        <w:spacing w:after="320" w:line="240" w:lineRule="auto"/>
        <w:outlineLvl w:val="0"/>
        <w:rPr>
          <w:rFonts w:ascii="pt_serif-bold" w:eastAsia="Times New Roman" w:hAnsi="pt_serif-bold" w:cs="Times New Roman"/>
          <w:caps/>
          <w:color w:val="434343"/>
          <w:kern w:val="36"/>
          <w:sz w:val="26"/>
          <w:szCs w:val="26"/>
        </w:rPr>
      </w:pPr>
      <w:r w:rsidRPr="00AF7644">
        <w:rPr>
          <w:rFonts w:ascii="pt_serif-bold" w:eastAsia="Times New Roman" w:hAnsi="pt_serif-bold" w:cs="Times New Roman"/>
          <w:caps/>
          <w:color w:val="434343"/>
          <w:kern w:val="36"/>
          <w:sz w:val="26"/>
          <w:szCs w:val="26"/>
        </w:rPr>
        <w:t>СТАТИСТИЧЕСКАЯ ИНФОРМАЦИЯ, ИССЛЕДОВАНИЯ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b/>
          <w:bCs/>
          <w:color w:val="282727"/>
        </w:rPr>
        <w:t xml:space="preserve">Распределение малых предприятий (без </w:t>
      </w:r>
      <w:proofErr w:type="spellStart"/>
      <w:r w:rsidRPr="00AF7644">
        <w:rPr>
          <w:rFonts w:ascii="pt_sans-regular" w:eastAsia="Times New Roman" w:hAnsi="pt_sans-regular" w:cs="Times New Roman"/>
          <w:b/>
          <w:bCs/>
          <w:color w:val="282727"/>
        </w:rPr>
        <w:t>микропредприятий</w:t>
      </w:r>
      <w:proofErr w:type="spellEnd"/>
      <w:r w:rsidRPr="00AF7644">
        <w:rPr>
          <w:rFonts w:ascii="pt_sans-regular" w:eastAsia="Times New Roman" w:hAnsi="pt_sans-regular" w:cs="Times New Roman"/>
          <w:b/>
          <w:bCs/>
          <w:color w:val="282727"/>
        </w:rPr>
        <w:t>) по основным видам деятельности</w:t>
      </w: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135"/>
        <w:gridCol w:w="756"/>
        <w:gridCol w:w="756"/>
        <w:gridCol w:w="756"/>
        <w:gridCol w:w="756"/>
        <w:gridCol w:w="756"/>
        <w:gridCol w:w="756"/>
      </w:tblGrid>
      <w:tr w:rsidR="00AF7644" w:rsidRPr="00AF7644" w:rsidTr="00AF7644">
        <w:trPr>
          <w:tblCellSpacing w:w="0" w:type="dxa"/>
        </w:trPr>
        <w:tc>
          <w:tcPr>
            <w:tcW w:w="553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 </w:t>
            </w: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Виды деятельности</w:t>
            </w:r>
          </w:p>
        </w:tc>
        <w:tc>
          <w:tcPr>
            <w:tcW w:w="2148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Количество предприятий по годам, ед.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2009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2010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2011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2012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2013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2014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Всего, </w:t>
            </w: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 в том числе: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1133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1177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1222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1240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1229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1199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244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272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278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309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310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305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bottom"/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обрабатывающие производства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209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214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224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220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218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215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строительство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159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164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171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167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167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162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165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166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195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220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225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222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сельское хозяйство, охота и лесное хозяйство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136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132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127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107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103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95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транспорт и связь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86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94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95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83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83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84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гостиницы и рестораны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57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62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62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66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58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50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55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другие</w:t>
            </w:r>
          </w:p>
        </w:tc>
        <w:tc>
          <w:tcPr>
            <w:tcW w:w="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77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73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70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68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65</w:t>
            </w:r>
          </w:p>
        </w:tc>
        <w:tc>
          <w:tcPr>
            <w:tcW w:w="5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66</w:t>
            </w:r>
          </w:p>
        </w:tc>
      </w:tr>
    </w:tbl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b/>
          <w:bCs/>
          <w:color w:val="282727"/>
        </w:rPr>
        <w:t xml:space="preserve">Распределение объемов оборота малых предприятий (без </w:t>
      </w:r>
      <w:proofErr w:type="spellStart"/>
      <w:r w:rsidRPr="00AF7644">
        <w:rPr>
          <w:rFonts w:ascii="pt_sans-regular" w:eastAsia="Times New Roman" w:hAnsi="pt_sans-regular" w:cs="Times New Roman"/>
          <w:b/>
          <w:bCs/>
          <w:color w:val="282727"/>
        </w:rPr>
        <w:t>микропредприятий</w:t>
      </w:r>
      <w:proofErr w:type="spellEnd"/>
      <w:r w:rsidRPr="00AF7644">
        <w:rPr>
          <w:rFonts w:ascii="pt_sans-regular" w:eastAsia="Times New Roman" w:hAnsi="pt_sans-regular" w:cs="Times New Roman"/>
          <w:b/>
          <w:bCs/>
          <w:color w:val="282727"/>
        </w:rPr>
        <w:t>) по основным видам деятельности</w:t>
      </w: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485"/>
        <w:gridCol w:w="1031"/>
        <w:gridCol w:w="1031"/>
        <w:gridCol w:w="1031"/>
        <w:gridCol w:w="1031"/>
        <w:gridCol w:w="1031"/>
        <w:gridCol w:w="1031"/>
      </w:tblGrid>
      <w:tr w:rsidR="00AF7644" w:rsidRPr="00AF7644" w:rsidTr="00AF7644">
        <w:trPr>
          <w:tblCellSpacing w:w="0" w:type="dxa"/>
        </w:trPr>
        <w:tc>
          <w:tcPr>
            <w:tcW w:w="463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 </w:t>
            </w: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Виды деятельности</w:t>
            </w:r>
          </w:p>
        </w:tc>
        <w:tc>
          <w:tcPr>
            <w:tcW w:w="3060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Объем оборота по годам, млн. руб.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2009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2010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2014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Всего, </w:t>
            </w: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 в том числе: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28749,7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37019,8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44699,2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53342,4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57091,5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b/>
                <w:bCs/>
                <w:color w:val="282727"/>
              </w:rPr>
              <w:t>62028,9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11571,3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15198,9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19543,3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23763,2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29040,1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29056,2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bottom"/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vAlign w:val="bottom"/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4953,8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6617,3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6893,1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8066,0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7343,7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9082,3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строительство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4649,1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5696,3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7056,3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7747,2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8113,9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noWrap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9458,2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 xml:space="preserve">операции с недвижимым имуществом, аренда и </w:t>
            </w:r>
            <w:r w:rsidRPr="00AF7644">
              <w:rPr>
                <w:rFonts w:ascii="pt_sans-regular" w:eastAsia="Times New Roman" w:hAnsi="pt_sans-regular" w:cs="Times New Roman"/>
                <w:color w:val="282727"/>
              </w:rPr>
              <w:lastRenderedPageBreak/>
              <w:t>предоставление услуг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lastRenderedPageBreak/>
              <w:t>2659,3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3347,7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3480,7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5724,5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5625,1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6553,2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lastRenderedPageBreak/>
              <w:t>сельское хозяйство, охота и лесное хозяйство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1627,5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2225,2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2947,6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3184,2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1962,1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2371,3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транспорт и связь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1609,3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1836,7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2286,6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1998,8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2408,5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2404,1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гостиницы и рестораны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689,2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1077,2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1269,4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1489,7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1265,2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1531,9</w:t>
            </w:r>
          </w:p>
        </w:tc>
      </w:tr>
      <w:tr w:rsidR="00AF7644" w:rsidRPr="00AF7644" w:rsidTr="00AF7644">
        <w:trPr>
          <w:tblCellSpacing w:w="0" w:type="dxa"/>
        </w:trPr>
        <w:tc>
          <w:tcPr>
            <w:tcW w:w="463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другие</w:t>
            </w:r>
          </w:p>
        </w:tc>
        <w:tc>
          <w:tcPr>
            <w:tcW w:w="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990,2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1020,5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1222,2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jc w:val="center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1368,8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1332,9</w:t>
            </w:r>
          </w:p>
        </w:tc>
        <w:tc>
          <w:tcPr>
            <w:tcW w:w="7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DF2"/>
            <w:tcMar>
              <w:top w:w="128" w:type="dxa"/>
              <w:left w:w="128" w:type="dxa"/>
              <w:bottom w:w="128" w:type="dxa"/>
              <w:right w:w="128" w:type="dxa"/>
            </w:tcMar>
            <w:hideMark/>
          </w:tcPr>
          <w:p w:rsidR="00AF7644" w:rsidRPr="00AF7644" w:rsidRDefault="00AF7644" w:rsidP="00AF7644">
            <w:pPr>
              <w:spacing w:after="0" w:line="240" w:lineRule="auto"/>
              <w:rPr>
                <w:rFonts w:ascii="pt_sans-regular" w:eastAsia="Times New Roman" w:hAnsi="pt_sans-regular" w:cs="Times New Roman"/>
                <w:color w:val="282727"/>
              </w:rPr>
            </w:pPr>
            <w:r w:rsidRPr="00AF7644">
              <w:rPr>
                <w:rFonts w:ascii="pt_sans-regular" w:eastAsia="Times New Roman" w:hAnsi="pt_sans-regular" w:cs="Times New Roman"/>
                <w:color w:val="282727"/>
              </w:rPr>
              <w:t>1571,7</w:t>
            </w:r>
          </w:p>
        </w:tc>
      </w:tr>
    </w:tbl>
    <w:p w:rsidR="00AF7644" w:rsidRPr="00AF7644" w:rsidRDefault="00AF7644" w:rsidP="00AF7644">
      <w:pPr>
        <w:shd w:val="clear" w:color="auto" w:fill="FFFFFF"/>
        <w:spacing w:after="0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В 2011 году в соответствии с Распоряжением Правительства Российской Федерации от 14.02.2009 № 201-р, проведено сплошное статистическое наблюдение субъектов малого и среднего предпринимательства по итогам 2010 года.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По данным статистического наблюдения на территории Новгородской области:</w:t>
      </w:r>
    </w:p>
    <w:p w:rsidR="00AF7644" w:rsidRPr="00AF7644" w:rsidRDefault="00AF7644" w:rsidP="00AF7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количество субъектов малого и среднего предпринимательства – 21,5 тысяч единиц</w:t>
      </w:r>
      <w:r w:rsidRPr="00AF7644">
        <w:rPr>
          <w:rFonts w:ascii="pt_sans-regular" w:eastAsia="Times New Roman" w:hAnsi="pt_sans-regular" w:cs="Times New Roman"/>
          <w:color w:val="282727"/>
        </w:rPr>
        <w:br/>
        <w:t>(6,9 тысяч единиц – юридические лица и 14,6 тысяч единиц – индивидуальные предприниматели);</w:t>
      </w:r>
    </w:p>
    <w:p w:rsidR="00AF7644" w:rsidRPr="00AF7644" w:rsidRDefault="00AF7644" w:rsidP="00AF7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 xml:space="preserve">в расчете на 1000 человек населения в среднем по области приходится 11 малых и средних </w:t>
      </w:r>
      <w:proofErr w:type="spellStart"/>
      <w:proofErr w:type="gramStart"/>
      <w:r w:rsidRPr="00AF7644">
        <w:rPr>
          <w:rFonts w:ascii="pt_sans-regular" w:eastAsia="Times New Roman" w:hAnsi="pt_sans-regular" w:cs="Times New Roman"/>
          <w:color w:val="282727"/>
        </w:rPr>
        <w:t>предприятий-юридических</w:t>
      </w:r>
      <w:proofErr w:type="spellEnd"/>
      <w:proofErr w:type="gramEnd"/>
      <w:r w:rsidRPr="00AF7644">
        <w:rPr>
          <w:rFonts w:ascii="pt_sans-regular" w:eastAsia="Times New Roman" w:hAnsi="pt_sans-regular" w:cs="Times New Roman"/>
          <w:color w:val="282727"/>
        </w:rPr>
        <w:t xml:space="preserve"> лиц и 23 индивидуальных предпринимателя;</w:t>
      </w:r>
    </w:p>
    <w:p w:rsidR="00AF7644" w:rsidRPr="00AF7644" w:rsidRDefault="00AF7644" w:rsidP="00AF7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в сфере малого и среднего предпринимательства занято 97 тысяч человек.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b/>
          <w:bCs/>
          <w:color w:val="282727"/>
        </w:rPr>
        <w:t>Количество субъектов малого и среднего предпринимательства (юридических лиц)</w:t>
      </w:r>
      <w:r w:rsidRPr="00AF7644">
        <w:rPr>
          <w:rFonts w:ascii="pt_sans-regular" w:eastAsia="Times New Roman" w:hAnsi="pt_sans-regular" w:cs="Times New Roman"/>
          <w:b/>
          <w:bCs/>
          <w:color w:val="282727"/>
        </w:rPr>
        <w:br/>
        <w:t> в расчете на 1 тысячу человек населения, ед.</w:t>
      </w: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>
        <w:rPr>
          <w:rFonts w:ascii="pt_sans-regular" w:eastAsia="Times New Roman" w:hAnsi="pt_sans-regular" w:cs="Times New Roman"/>
          <w:noProof/>
          <w:color w:val="282727"/>
        </w:rPr>
        <w:drawing>
          <wp:inline distT="0" distB="0" distL="0" distR="0">
            <wp:extent cx="6187440" cy="4053840"/>
            <wp:effectExtent l="19050" t="0" r="3810" b="0"/>
            <wp:docPr id="1" name="Рисунок 1" descr="https://econom.novreg.ru/upload/image/Bisnes/KolichMPnaDu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novreg.ru/upload/image/Bisnes/KolichMPnaDush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44" w:rsidRPr="00AF7644" w:rsidRDefault="00AF7644" w:rsidP="00AF7644">
      <w:pPr>
        <w:shd w:val="clear" w:color="auto" w:fill="FFFFFF"/>
        <w:spacing w:after="0" w:line="314" w:lineRule="atLeast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p w:rsidR="00AF7644" w:rsidRPr="00AF7644" w:rsidRDefault="00AF7644" w:rsidP="00AF7644">
      <w:pPr>
        <w:shd w:val="clear" w:color="auto" w:fill="FFFFFF"/>
        <w:spacing w:after="0" w:line="314" w:lineRule="atLeast"/>
        <w:jc w:val="center"/>
        <w:rPr>
          <w:rFonts w:ascii="pt_sans-regular" w:eastAsia="Times New Roman" w:hAnsi="pt_sans-regular" w:cs="Times New Roman"/>
          <w:color w:val="282727"/>
        </w:rPr>
      </w:pPr>
      <w:r w:rsidRPr="00AF7644">
        <w:rPr>
          <w:rFonts w:ascii="pt_sans-regular" w:eastAsia="Times New Roman" w:hAnsi="pt_sans-regular" w:cs="Times New Roman"/>
          <w:b/>
          <w:bCs/>
          <w:color w:val="282727"/>
        </w:rPr>
        <w:lastRenderedPageBreak/>
        <w:t>Доля среднесписочной численности, занятых на малых и средних предприятиях (юридических лицах)</w:t>
      </w:r>
      <w:r w:rsidRPr="00AF7644">
        <w:rPr>
          <w:rFonts w:ascii="pt_sans-regular" w:eastAsia="Times New Roman" w:hAnsi="pt_sans-regular" w:cs="Times New Roman"/>
          <w:b/>
          <w:bCs/>
          <w:color w:val="282727"/>
        </w:rPr>
        <w:br/>
        <w:t>в среднесписочной численности, занятых на всех предприятиях и организациях</w:t>
      </w:r>
      <w:r w:rsidRPr="00AF7644">
        <w:rPr>
          <w:rFonts w:ascii="pt_sans-regular" w:eastAsia="Times New Roman" w:hAnsi="pt_sans-regular" w:cs="Times New Roman"/>
          <w:color w:val="282727"/>
        </w:rPr>
        <w:t> </w:t>
      </w:r>
    </w:p>
    <w:p w:rsidR="00AF7644" w:rsidRPr="00AF7644" w:rsidRDefault="00AF7644" w:rsidP="00AF7644">
      <w:pPr>
        <w:shd w:val="clear" w:color="auto" w:fill="FFFFFF"/>
        <w:spacing w:before="304" w:after="304" w:line="360" w:lineRule="atLeast"/>
        <w:jc w:val="center"/>
        <w:rPr>
          <w:rFonts w:ascii="pt_sans-regular" w:eastAsia="Times New Roman" w:hAnsi="pt_sans-regular" w:cs="Times New Roman"/>
          <w:color w:val="282727"/>
        </w:rPr>
      </w:pPr>
      <w:r>
        <w:rPr>
          <w:rFonts w:ascii="pt_sans-regular" w:eastAsia="Times New Roman" w:hAnsi="pt_sans-regular" w:cs="Times New Roman"/>
          <w:noProof/>
          <w:color w:val="282727"/>
        </w:rPr>
        <w:drawing>
          <wp:inline distT="0" distB="0" distL="0" distR="0">
            <wp:extent cx="6187440" cy="4053840"/>
            <wp:effectExtent l="19050" t="0" r="3810" b="0"/>
            <wp:docPr id="2" name="Рисунок 2" descr="https://econom.novreg.ru/upload/image/Bisnes/Doly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novreg.ru/upload/image/Bisnes/Doly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44">
        <w:rPr>
          <w:rFonts w:ascii="pt_sans-regular" w:eastAsia="Times New Roman" w:hAnsi="pt_sans-regular" w:cs="Times New Roman"/>
          <w:color w:val="282727"/>
        </w:rPr>
        <w:t>  </w:t>
      </w:r>
    </w:p>
    <w:p w:rsidR="00D06202" w:rsidRDefault="00D06202"/>
    <w:sectPr w:rsidR="00D0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1E88"/>
    <w:multiLevelType w:val="multilevel"/>
    <w:tmpl w:val="5A1C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F7644"/>
    <w:rsid w:val="00AF7644"/>
    <w:rsid w:val="00D0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F7644"/>
    <w:rPr>
      <w:b/>
      <w:bCs/>
    </w:rPr>
  </w:style>
  <w:style w:type="paragraph" w:styleId="a4">
    <w:name w:val="Normal (Web)"/>
    <w:basedOn w:val="a"/>
    <w:uiPriority w:val="99"/>
    <w:semiHidden/>
    <w:unhideWhenUsed/>
    <w:rsid w:val="00AF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2016-03-02T07:45:00Z</dcterms:created>
  <dcterms:modified xsi:type="dcterms:W3CDTF">2016-03-02T07:45:00Z</dcterms:modified>
</cp:coreProperties>
</file>